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line="240" w:lineRule="auto"/>
        <w:rPr>
          <w:b/>
          <w:bCs/>
          <w:highlight w:val="none"/>
        </w:rPr>
      </w:pPr>
      <w:r>
        <w:rPr>
          <w:b/>
          <w:szCs w:val="28"/>
          <w:highlight w:val="none"/>
        </w:rPr>
        <w:t xml:space="preserve">ПРОЕКТ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/>
        <w:jc w:val="center"/>
        <w:spacing w:line="240" w:lineRule="auto"/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pacing w:line="240" w:lineRule="auto"/>
        <w:rPr>
          <w:rFonts w:cs="Calibri"/>
          <w:b/>
          <w:bCs/>
        </w:rPr>
      </w:pPr>
      <w:r>
        <w:rPr>
          <w:rFonts w:cs="Calibri"/>
          <w:b/>
          <w:bCs/>
        </w:rPr>
      </w:r>
      <w:r>
        <w:rPr>
          <w:rFonts w:cs="Calibri"/>
          <w:b/>
          <w:bCs/>
          <w:szCs w:val="28"/>
        </w:rPr>
        <w:t xml:space="preserve">в</w:t>
      </w:r>
      <w:r>
        <w:rPr>
          <w:rFonts w:cs="Calibri"/>
          <w:b/>
          <w:bCs/>
          <w:szCs w:val="28"/>
        </w:rPr>
        <w:t xml:space="preserve">стречи Губернатора Новосибирской области А.А. Травникова с аспирантами и молодыми учеными в Федеральном государственном бюджетном научном учреждении Новосибирском институте органической химии им. Н.Н. Ворожцова  Сибирского отделения Российской академии нау</w:t>
      </w:r>
      <w:r>
        <w:rPr>
          <w:rFonts w:cs="Calibri"/>
          <w:b/>
          <w:bCs/>
          <w:szCs w:val="28"/>
        </w:rPr>
        <w:t xml:space="preserve">к </w:t>
      </w:r>
      <w:r>
        <w:rPr>
          <w:rFonts w:cs="Calibri"/>
          <w:b/>
          <w:bCs/>
        </w:rPr>
      </w:r>
      <w:r>
        <w:rPr>
          <w:rFonts w:cs="Calibri"/>
          <w:b/>
          <w:bCs/>
        </w:rPr>
      </w:r>
    </w:p>
    <w:p>
      <w:pPr>
        <w:jc w:val="center"/>
        <w:spacing w:line="240" w:lineRule="auto"/>
        <w:rPr>
          <w:rFonts w:cs="Calibri"/>
          <w:b/>
          <w:bCs/>
        </w:rPr>
      </w:pPr>
      <w:r>
        <w:rPr>
          <w:rFonts w:cs="Calibri"/>
          <w:b/>
          <w:bCs/>
          <w:szCs w:val="28"/>
        </w:rPr>
        <w:t xml:space="preserve">(далее - НИОХ СО РАН) </w:t>
      </w:r>
      <w:r>
        <w:rPr>
          <w:rFonts w:cs="Calibri"/>
          <w:b/>
          <w:bCs/>
        </w:rPr>
      </w:r>
      <w:r>
        <w:rPr>
          <w:rFonts w:cs="Calibri"/>
          <w:b/>
          <w:bCs/>
        </w:rPr>
      </w:r>
    </w:p>
    <w:p>
      <w:pPr>
        <w:ind w:firstLine="709"/>
        <w:jc w:val="center"/>
        <w:spacing w:line="240" w:lineRule="atLeast"/>
        <w:rPr>
          <w:i/>
          <w:szCs w:val="28"/>
        </w:rPr>
      </w:pPr>
      <w:r>
        <w:rPr>
          <w:i/>
          <w:szCs w:val="28"/>
        </w:rPr>
      </w:r>
      <w:r>
        <w:rPr>
          <w:i/>
          <w:szCs w:val="28"/>
        </w:rPr>
      </w:r>
      <w:r>
        <w:rPr>
          <w:i/>
          <w:szCs w:val="28"/>
        </w:rPr>
      </w:r>
    </w:p>
    <w:tbl>
      <w:tblPr>
        <w:tblStyle w:val="875"/>
        <w:tblW w:w="10807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37"/>
        <w:gridCol w:w="4570"/>
      </w:tblGrid>
      <w:tr>
        <w:tblPrEx/>
        <w:trPr>
          <w:trHeight w:val="359"/>
        </w:trPr>
        <w:tc>
          <w:tcPr>
            <w:tcW w:w="6237" w:type="dxa"/>
            <w:textDirection w:val="lrTb"/>
            <w:noWrap w:val="false"/>
          </w:tcPr>
          <w:p>
            <w:pPr>
              <w:ind w:left="345"/>
              <w:jc w:val="lef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НИОХ СО РАН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570" w:type="dxa"/>
            <w:textDirection w:val="lrTb"/>
            <w:noWrap w:val="false"/>
          </w:tcPr>
          <w:p>
            <w:pPr>
              <w:ind w:firstLine="709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06 февраля 2026 года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377"/>
        </w:trPr>
        <w:tc>
          <w:tcPr>
            <w:tcW w:w="6237" w:type="dxa"/>
            <w:textDirection w:val="lrTb"/>
            <w:noWrap w:val="false"/>
          </w:tcPr>
          <w:p>
            <w:pPr>
              <w:ind w:left="345"/>
              <w:jc w:val="lef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Конференц-зал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570" w:type="dxa"/>
            <w:textDirection w:val="lrTb"/>
            <w:noWrap w:val="false"/>
          </w:tcPr>
          <w:p>
            <w:pPr>
              <w:ind w:left="465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15.</w:t>
            </w:r>
            <w:r>
              <w:rPr>
                <w:szCs w:val="28"/>
              </w:rPr>
              <w:t xml:space="preserve">00</w:t>
            </w:r>
            <w:r>
              <w:rPr>
                <w:szCs w:val="28"/>
              </w:rPr>
              <w:t xml:space="preserve"> час.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contextualSpacing/>
        <w:spacing w:line="240" w:lineRule="auto"/>
        <w:rPr>
          <w:iCs/>
          <w:szCs w:val="28"/>
        </w:rPr>
      </w:pPr>
      <w:r>
        <w:rPr>
          <w:iCs/>
          <w:sz w:val="20"/>
          <w:lang w:bidi="ru-RU"/>
        </w:rPr>
        <w:br/>
      </w:r>
      <w:r>
        <w:rPr>
          <w:iCs/>
          <w:szCs w:val="28"/>
        </w:rPr>
      </w:r>
      <w:r>
        <w:rPr>
          <w:iCs/>
          <w:szCs w:val="28"/>
        </w:rPr>
      </w:r>
    </w:p>
    <w:p>
      <w:pPr>
        <w:contextualSpacing/>
        <w:spacing w:line="240" w:lineRule="auto"/>
        <w:rPr>
          <w:i/>
          <w:iCs/>
          <w:szCs w:val="28"/>
        </w:rPr>
      </w:pPr>
      <w:r>
        <w:rPr>
          <w:i/>
          <w:iCs/>
          <w:szCs w:val="28"/>
        </w:rPr>
        <w:t xml:space="preserve">Модератор: </w:t>
      </w:r>
      <w:r>
        <w:rPr>
          <w:i/>
          <w:iCs/>
          <w:szCs w:val="28"/>
        </w:rPr>
        <w:t xml:space="preserve">уточняется</w:t>
      </w:r>
      <w:r>
        <w:rPr>
          <w:i/>
          <w:iCs/>
          <w:szCs w:val="28"/>
        </w:rPr>
      </w:r>
      <w:r>
        <w:rPr>
          <w:i/>
          <w:iCs/>
          <w:szCs w:val="28"/>
        </w:rPr>
      </w:r>
    </w:p>
    <w:p>
      <w:pPr>
        <w:contextualSpacing/>
        <w:spacing w:line="240" w:lineRule="auto"/>
        <w:rPr>
          <w:iCs/>
          <w:szCs w:val="28"/>
        </w:rPr>
      </w:pPr>
      <w:r>
        <w:rPr>
          <w:iCs/>
          <w:szCs w:val="28"/>
        </w:rPr>
      </w:r>
      <w:r>
        <w:rPr>
          <w:iCs/>
          <w:szCs w:val="28"/>
        </w:rPr>
      </w:r>
      <w:r>
        <w:rPr>
          <w:iCs/>
          <w:szCs w:val="28"/>
        </w:rPr>
      </w:r>
    </w:p>
    <w:p>
      <w:pPr>
        <w:contextualSpacing/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Вступительное слово </w:t>
      </w:r>
      <w:r>
        <w:rPr>
          <w:iCs/>
          <w:szCs w:val="28"/>
        </w:rPr>
        <w:t xml:space="preserve">модератора</w:t>
      </w:r>
      <w:r>
        <w:rPr>
          <w:iCs/>
          <w:szCs w:val="28"/>
        </w:rPr>
      </w:r>
      <w:r>
        <w:rPr>
          <w:iCs/>
          <w:szCs w:val="28"/>
        </w:rPr>
      </w:r>
    </w:p>
    <w:p>
      <w:pPr>
        <w:contextualSpacing/>
        <w:spacing w:line="240" w:lineRule="auto"/>
        <w:rPr>
          <w:iCs/>
          <w:szCs w:val="28"/>
        </w:rPr>
      </w:pPr>
      <w:r>
        <w:rPr>
          <w:iCs/>
          <w:szCs w:val="28"/>
        </w:rPr>
      </w:r>
      <w:r>
        <w:rPr>
          <w:iCs/>
          <w:szCs w:val="28"/>
        </w:rPr>
      </w:r>
      <w:r>
        <w:rPr>
          <w:iCs/>
          <w:szCs w:val="28"/>
        </w:rPr>
      </w:r>
    </w:p>
    <w:p>
      <w:pPr>
        <w:contextualSpacing/>
        <w:spacing w:line="240" w:lineRule="auto"/>
      </w:pPr>
      <w:r>
        <w:rPr>
          <w:iCs/>
          <w:szCs w:val="28"/>
          <w:highlight w:val="none"/>
        </w:rPr>
      </w:r>
      <w:r>
        <w:rPr>
          <w:iCs/>
          <w:szCs w:val="28"/>
          <w:highlight w:val="none"/>
        </w:rPr>
      </w:r>
      <w:r/>
    </w:p>
    <w:p>
      <w:pPr>
        <w:contextualSpacing/>
        <w:spacing w:line="240" w:lineRule="auto"/>
        <w:rPr>
          <w:i w:val="0"/>
          <w:iCs w:val="0"/>
          <w:highlight w:val="none"/>
        </w:rPr>
      </w:pPr>
      <w:r>
        <w:rPr>
          <w:iCs/>
          <w:szCs w:val="28"/>
        </w:rPr>
        <w:t xml:space="preserve">Вступительное слово </w:t>
      </w:r>
      <w:r>
        <w:rPr>
          <w:b/>
          <w:iCs/>
          <w:szCs w:val="28"/>
        </w:rPr>
        <w:t xml:space="preserve">Травникова Андрея Александровича</w:t>
      </w:r>
      <w:r>
        <w:rPr>
          <w:iCs/>
          <w:szCs w:val="28"/>
        </w:rPr>
        <w:t xml:space="preserve">, Губернатора Новосибирской области, </w:t>
      </w:r>
      <w:r>
        <w:rPr>
          <w:i w:val="0"/>
          <w:iCs w:val="0"/>
          <w:szCs w:val="28"/>
        </w:rPr>
        <w:t xml:space="preserve">3 мин.</w:t>
      </w:r>
      <w:r>
        <w:rPr>
          <w:i w:val="0"/>
          <w:iCs w:val="0"/>
          <w:highlight w:val="none"/>
        </w:rPr>
      </w:r>
      <w:r>
        <w:rPr>
          <w:i w:val="0"/>
          <w:iCs w:val="0"/>
          <w:highlight w:val="none"/>
        </w:rPr>
      </w:r>
    </w:p>
    <w:p>
      <w:pPr>
        <w:contextualSpacing/>
        <w:spacing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spacing w:line="240" w:lineRule="auto"/>
        <w:rPr>
          <w:iCs/>
          <w:highlight w:val="none"/>
        </w:rPr>
      </w:pPr>
      <w:r>
        <w:rPr>
          <w:iCs/>
          <w:szCs w:val="28"/>
        </w:rPr>
        <w:t xml:space="preserve">Вступительное слово </w:t>
      </w:r>
      <w:r>
        <w:rPr>
          <w:b/>
          <w:bCs/>
          <w:iCs/>
          <w:szCs w:val="28"/>
        </w:rPr>
        <w:t xml:space="preserve">Багрянской Елены Григорьевны</w:t>
      </w:r>
      <w:r>
        <w:rPr>
          <w:iCs/>
          <w:szCs w:val="28"/>
        </w:rPr>
        <w:t xml:space="preserve">, директора НИОХ СО РАН</w:t>
      </w:r>
      <w:r>
        <w:rPr>
          <w:iCs/>
          <w:szCs w:val="28"/>
        </w:rPr>
        <w:t xml:space="preserve">, 3 мин.</w:t>
      </w:r>
      <w:r>
        <w:rPr>
          <w:iCs/>
          <w:highlight w:val="none"/>
        </w:rPr>
      </w:r>
      <w:r>
        <w:rPr>
          <w:iCs/>
          <w:highlight w:val="none"/>
        </w:rPr>
      </w:r>
    </w:p>
    <w:p>
      <w:pPr>
        <w:contextualSpacing/>
        <w:spacing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spacing w:line="240" w:lineRule="auto"/>
        <w:rPr>
          <w:highlight w:val="none"/>
        </w:rPr>
      </w:pPr>
      <w:r>
        <w:rPr>
          <w:iCs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0"/>
        <w:spacing w:line="240" w:lineRule="auto"/>
        <w:rPr>
          <w:b/>
          <w:bCs/>
          <w:iCs/>
          <w:highlight w:val="none"/>
        </w:rPr>
      </w:pPr>
      <w:r>
        <w:rPr>
          <w:b w:val="0"/>
          <w:bCs w:val="0"/>
          <w:iCs/>
          <w:szCs w:val="28"/>
        </w:rPr>
        <w:t xml:space="preserve">1. </w:t>
      </w:r>
      <w:r>
        <w:rPr>
          <w:b/>
          <w:bCs/>
          <w:iCs/>
          <w:szCs w:val="28"/>
        </w:rPr>
        <w:t xml:space="preserve">«</w:t>
      </w:r>
      <w:r>
        <w:rPr>
          <w:b/>
          <w:bCs/>
          <w:iCs/>
          <w:szCs w:val="28"/>
        </w:rPr>
        <w:t xml:space="preserve">О взаимодействии </w:t>
      </w:r>
      <w:r>
        <w:rPr>
          <w:b/>
          <w:bCs/>
          <w:iCs/>
          <w:szCs w:val="28"/>
        </w:rPr>
        <w:t xml:space="preserve">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 </w:t>
      </w:r>
      <w:r>
        <w:rPr>
          <w:b/>
          <w:bCs/>
          <w:iCs/>
          <w:szCs w:val="28"/>
        </w:rPr>
        <w:t xml:space="preserve">с аспирантами и советом молодых ученых»</w:t>
      </w:r>
      <w:r>
        <w:rPr>
          <w:b/>
          <w:bCs/>
          <w:iCs/>
          <w:szCs w:val="28"/>
        </w:rPr>
        <w:t xml:space="preserve">, </w:t>
      </w:r>
      <w:r>
        <w:rPr>
          <w:b w:val="0"/>
          <w:bCs w:val="0"/>
          <w:iCs/>
          <w:szCs w:val="28"/>
        </w:rPr>
        <w:t xml:space="preserve">10 мин.</w:t>
      </w:r>
      <w:r>
        <w:rPr>
          <w:b/>
          <w:bCs/>
          <w:iCs/>
          <w:highlight w:val="none"/>
        </w:rPr>
      </w:r>
      <w:r>
        <w:rPr>
          <w:b/>
          <w:bCs/>
          <w:iCs/>
          <w:highlight w:val="none"/>
        </w:rPr>
      </w:r>
    </w:p>
    <w:p>
      <w:pPr>
        <w:contextualSpacing/>
        <w:ind w:left="0" w:right="0" w:firstLine="0"/>
        <w:spacing w:line="240" w:lineRule="auto"/>
        <w:rPr>
          <w:i/>
          <w:highlight w:val="none"/>
        </w:rPr>
      </w:pPr>
      <w:r>
        <w:rPr>
          <w:i/>
          <w:iCs/>
          <w:szCs w:val="28"/>
          <w:highlight w:val="none"/>
        </w:rPr>
        <w:t xml:space="preserve">доклад сопровождается презентацией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contextualSpacing/>
        <w:ind w:left="0" w:right="0" w:firstLine="0"/>
        <w:spacing w:line="240" w:lineRule="auto"/>
        <w:rPr>
          <w:bCs/>
          <w:i/>
          <w:highlight w:val="none"/>
        </w:rPr>
      </w:pPr>
      <w:r>
        <w:rPr>
          <w:iCs/>
          <w:szCs w:val="28"/>
          <w:highlight w:val="none"/>
        </w:rPr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contextualSpacing/>
        <w:ind w:left="0" w:right="0" w:firstLine="0"/>
        <w:spacing w:line="240" w:lineRule="auto"/>
        <w:rPr>
          <w:highlight w:val="none"/>
        </w:rPr>
      </w:pPr>
      <w:r>
        <w:rPr>
          <w:i/>
          <w:iCs/>
          <w:szCs w:val="28"/>
          <w:highlight w:val="none"/>
        </w:rPr>
      </w:r>
      <w:r>
        <w:rPr>
          <w:iCs/>
          <w:szCs w:val="28"/>
          <w:highlight w:val="none"/>
        </w:rPr>
        <w:t xml:space="preserve">Докладчик: </w:t>
      </w:r>
      <w:r>
        <w:rPr>
          <w:b/>
          <w:bCs/>
          <w:iCs/>
          <w:szCs w:val="28"/>
          <w:highlight w:val="none"/>
        </w:rPr>
        <w:t xml:space="preserve">Пышный Дмитрий Владимирович </w:t>
      </w:r>
      <w:r>
        <w:rPr>
          <w:iCs/>
          <w:szCs w:val="28"/>
          <w:highlight w:val="none"/>
        </w:rPr>
        <w:t xml:space="preserve">– ректор </w:t>
      </w:r>
      <w:r>
        <w:rPr>
          <w:iCs/>
          <w:szCs w:val="28"/>
          <w:highlight w:val="none"/>
        </w:rPr>
        <w:t xml:space="preserve">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</w:t>
      </w:r>
      <w:r>
        <w:rPr>
          <w:iCs/>
          <w:szCs w:val="28"/>
          <w:highlight w:val="none"/>
        </w:rPr>
        <w:t xml:space="preserve">, доктор химических наук, член корреспондент РАН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0"/>
        <w:spacing w:line="240" w:lineRule="auto"/>
      </w:pPr>
      <w:r>
        <w:rPr>
          <w:iCs/>
          <w:szCs w:val="28"/>
          <w:highlight w:val="none"/>
        </w:rPr>
      </w:r>
      <w:r>
        <w:rPr>
          <w:iCs/>
          <w:szCs w:val="28"/>
          <w:highlight w:val="none"/>
        </w:rPr>
      </w:r>
      <w:r/>
    </w:p>
    <w:p>
      <w:pPr>
        <w:spacing w:line="240" w:lineRule="auto"/>
        <w:rPr>
          <w:b w:val="0"/>
          <w:bCs w:val="0"/>
          <w:szCs w:val="28"/>
        </w:rPr>
      </w:pPr>
      <w:r>
        <w:rPr>
          <w:szCs w:val="28"/>
        </w:rPr>
        <w:t xml:space="preserve">2.</w:t>
      </w:r>
      <w:r>
        <w:rPr>
          <w:b/>
          <w:szCs w:val="28"/>
        </w:rPr>
        <w:t xml:space="preserve"> «</w:t>
      </w:r>
      <w:r>
        <w:rPr>
          <w:b/>
          <w:szCs w:val="28"/>
        </w:rPr>
        <w:t xml:space="preserve">О реализации проекта «Разработка технологий комплексной переработки сырья растений Сибири и Дальнего Востока с получением препаратов для медицины, сельского хозяйства, пищевой и косметической промышленности</w:t>
      </w:r>
      <w:r>
        <w:rPr>
          <w:b/>
          <w:szCs w:val="28"/>
        </w:rPr>
        <w:t xml:space="preserve">»</w:t>
      </w:r>
      <w:r>
        <w:rPr>
          <w:b/>
          <w:szCs w:val="28"/>
        </w:rPr>
        <w:t xml:space="preserve">, </w:t>
      </w:r>
      <w:r>
        <w:rPr>
          <w:b w:val="0"/>
          <w:bCs w:val="0"/>
          <w:szCs w:val="28"/>
        </w:rPr>
        <w:t xml:space="preserve">5 мин.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spacing w:line="240" w:lineRule="auto"/>
        <w:rPr>
          <w:bCs/>
          <w:i/>
        </w:rPr>
      </w:pPr>
      <w:r>
        <w:rPr>
          <w:i/>
          <w:szCs w:val="28"/>
        </w:rPr>
        <w:t xml:space="preserve">доклад сопровождается презентацией</w:t>
      </w:r>
      <w:r>
        <w:rPr>
          <w:bCs/>
          <w:i/>
        </w:rPr>
      </w:r>
      <w:r>
        <w:rPr>
          <w:bCs/>
          <w:i/>
        </w:rPr>
      </w:r>
    </w:p>
    <w:p>
      <w:pPr>
        <w:spacing w:line="240" w:lineRule="auto"/>
        <w:rPr>
          <w:bCs/>
          <w:i/>
        </w:rPr>
      </w:pPr>
      <w:r>
        <w:rPr>
          <w:b w:val="0"/>
          <w:bCs w:val="0"/>
          <w:szCs w:val="28"/>
          <w:highlight w:val="none"/>
        </w:rPr>
      </w:r>
      <w:r>
        <w:rPr>
          <w:bCs/>
          <w:i/>
        </w:rPr>
      </w:r>
      <w:r>
        <w:rPr>
          <w:bCs/>
          <w:i/>
        </w:rPr>
      </w:r>
    </w:p>
    <w:p>
      <w:pPr>
        <w:spacing w:line="240" w:lineRule="auto"/>
        <w:rPr>
          <w:b w:val="0"/>
          <w:bCs w:val="0"/>
          <w:highlight w:val="none"/>
        </w:rPr>
      </w:pPr>
      <w:r>
        <w:rPr>
          <w:i/>
          <w:szCs w:val="28"/>
        </w:rPr>
      </w:r>
      <w:r>
        <w:rPr>
          <w:szCs w:val="24"/>
        </w:rPr>
        <w:t xml:space="preserve">Докладчик: </w:t>
      </w:r>
      <w:r>
        <w:rPr>
          <w:b/>
          <w:szCs w:val="28"/>
        </w:rPr>
        <w:t xml:space="preserve">Миронов </w:t>
      </w:r>
      <w:r>
        <w:rPr>
          <w:b/>
          <w:szCs w:val="28"/>
        </w:rPr>
        <w:t xml:space="preserve">Максим Евгеньевич</w:t>
      </w:r>
      <w:r>
        <w:rPr>
          <w:b/>
          <w:szCs w:val="28"/>
        </w:rPr>
        <w:tab/>
        <w:t xml:space="preserve">-</w:t>
        <w:tab/>
      </w:r>
      <w:r>
        <w:rPr>
          <w:b w:val="0"/>
          <w:bCs w:val="0"/>
          <w:szCs w:val="28"/>
        </w:rPr>
        <w:t xml:space="preserve">заведующий молодежной научной лабораторией химии и технологии вторичных метаболитов растений и животных НИОХ СО РАН, кандидат химических наук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spacing w:line="240" w:lineRule="auto"/>
        <w:tabs>
          <w:tab w:val="left" w:pos="72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6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szCs w:val="28"/>
        </w:rPr>
        <w:t xml:space="preserve">3.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«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Меры поддержки для молодых ученых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, на примере региональных грантов РНФ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5 мин.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bCs/>
          <w:i/>
        </w:rPr>
        <w:t xml:space="preserve">доклад сопровождается презентацией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spacing w:line="240" w:lineRule="auto"/>
        <w:tabs>
          <w:tab w:val="left" w:pos="720" w:leader="none"/>
        </w:tabs>
        <w:rPr>
          <w:b w:val="0"/>
          <w:bCs w:val="0"/>
          <w:i w:val="0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Докладчик: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Симонова Екатерина Александровна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научный сотрудник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Федерального государственного бюджетного учреждения науки Института геологии и минералогии им. В.С. Соболева Сибирского отделения Российской академии наук</w:t>
      </w:r>
      <w:r>
        <w:rPr>
          <w:b/>
          <w:bCs/>
        </w:rPr>
        <w:t xml:space="preserve">»</w:t>
      </w:r>
      <w:r>
        <w:rPr>
          <w:b/>
          <w:bCs/>
        </w:rPr>
        <w:t xml:space="preserve">, </w:t>
      </w:r>
      <w:r>
        <w:rPr>
          <w:b w:val="0"/>
          <w:bCs w:val="0"/>
          <w:i w:val="0"/>
          <w:iCs w:val="0"/>
        </w:rPr>
        <w:t xml:space="preserve">кандидат </w:t>
      </w:r>
      <w:r>
        <w:rPr>
          <w:b w:val="0"/>
          <w:bCs w:val="0"/>
          <w:i w:val="0"/>
          <w:iCs w:val="0"/>
        </w:rPr>
        <w:t xml:space="preserve">геолого-минералогических наук</w:t>
      </w:r>
      <w:r>
        <w:rPr>
          <w:b w:val="0"/>
          <w:bCs w:val="0"/>
          <w:i w:val="0"/>
        </w:rPr>
      </w:r>
      <w:r>
        <w:rPr>
          <w:b w:val="0"/>
          <w:bCs w:val="0"/>
          <w:i w:val="0"/>
        </w:rPr>
      </w:r>
    </w:p>
    <w:p>
      <w:pPr>
        <w:contextualSpacing/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spacing w:line="240" w:lineRule="auto"/>
        <w:tabs>
          <w:tab w:val="left" w:pos="720" w:leader="none"/>
        </w:tabs>
        <w:rPr>
          <w:highlight w:val="none"/>
        </w:rPr>
      </w:pPr>
      <w:r>
        <w:rPr>
          <w:szCs w:val="28"/>
        </w:rPr>
        <w:t xml:space="preserve">Обсуждение вопросов в формате «вопрос-ответ»</w:t>
      </w:r>
      <w:r>
        <w:rPr>
          <w:szCs w:val="28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spacing w:line="240" w:lineRule="auto"/>
        <w:tabs>
          <w:tab w:val="left" w:pos="720" w:leader="none"/>
        </w:tabs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contextualSpacing/>
        <w:spacing w:line="240" w:lineRule="auto"/>
        <w:rPr>
          <w:iCs/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 xml:space="preserve">Заключительное</w:t>
      </w:r>
      <w:r>
        <w:rPr>
          <w:iCs/>
          <w:color w:val="000000" w:themeColor="text1"/>
          <w:szCs w:val="28"/>
        </w:rPr>
        <w:t xml:space="preserve"> слово</w:t>
      </w:r>
      <w:r>
        <w:rPr>
          <w:i/>
          <w:iCs/>
          <w:color w:val="000000" w:themeColor="text1"/>
          <w:szCs w:val="28"/>
        </w:rPr>
        <w:t xml:space="preserve"> </w:t>
      </w:r>
      <w:r>
        <w:rPr>
          <w:b/>
          <w:iCs/>
          <w:color w:val="000000" w:themeColor="text1"/>
          <w:szCs w:val="28"/>
        </w:rPr>
        <w:t xml:space="preserve">Травникова Андрея Александровича</w:t>
      </w:r>
      <w:r>
        <w:rPr>
          <w:iCs/>
          <w:color w:val="000000" w:themeColor="text1"/>
          <w:szCs w:val="28"/>
        </w:rPr>
        <w:t xml:space="preserve">, Губернатора Новосибирской области</w:t>
      </w:r>
      <w:r>
        <w:rPr>
          <w:iCs/>
          <w:color w:val="000000" w:themeColor="text1"/>
          <w:szCs w:val="28"/>
        </w:rPr>
        <w:t xml:space="preserve"> </w:t>
      </w:r>
      <w:bookmarkStart w:id="0" w:name="_GoBack"/>
      <w:r/>
      <w:bookmarkEnd w:id="0"/>
      <w:r>
        <w:rPr>
          <w:iCs/>
          <w:color w:val="000000" w:themeColor="text1"/>
          <w:szCs w:val="28"/>
        </w:rPr>
      </w:r>
      <w:r>
        <w:rPr>
          <w:iCs/>
          <w:color w:val="000000" w:themeColor="text1"/>
          <w:szCs w:val="28"/>
        </w:rPr>
      </w:r>
    </w:p>
    <w:p>
      <w:pPr>
        <w:contextualSpacing/>
        <w:spacing w:line="240" w:lineRule="auto"/>
        <w:rPr>
          <w:iCs/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</w:r>
      <w:r>
        <w:rPr>
          <w:iCs/>
          <w:color w:val="000000" w:themeColor="text1"/>
          <w:szCs w:val="28"/>
        </w:rPr>
      </w:r>
      <w:r>
        <w:rPr>
          <w:iCs/>
          <w:color w:val="000000" w:themeColor="text1"/>
          <w:szCs w:val="28"/>
        </w:rPr>
      </w:r>
    </w:p>
    <w:p>
      <w:pPr>
        <w:contextualSpacing/>
        <w:spacing w:line="240" w:lineRule="auto"/>
        <w:rPr>
          <w:iCs/>
          <w:color w:val="000000" w:themeColor="text1"/>
          <w:szCs w:val="28"/>
        </w:rPr>
      </w:pPr>
      <w:r>
        <w:rPr>
          <w:b/>
          <w:iCs/>
          <w:color w:val="000000" w:themeColor="text1"/>
          <w:szCs w:val="28"/>
        </w:rPr>
        <w:t xml:space="preserve">16.</w:t>
      </w:r>
      <w:r>
        <w:rPr>
          <w:b/>
          <w:iCs/>
          <w:color w:val="000000" w:themeColor="text1"/>
          <w:szCs w:val="28"/>
        </w:rPr>
        <w:t xml:space="preserve">00</w:t>
      </w:r>
      <w:r>
        <w:rPr>
          <w:iCs/>
          <w:color w:val="000000" w:themeColor="text1"/>
          <w:szCs w:val="28"/>
        </w:rPr>
        <w:t xml:space="preserve"> Окончание встречи</w:t>
      </w:r>
      <w:r>
        <w:rPr>
          <w:iCs/>
          <w:color w:val="000000" w:themeColor="text1"/>
          <w:szCs w:val="28"/>
        </w:rPr>
      </w:r>
      <w:r>
        <w:rPr>
          <w:iCs/>
          <w:color w:val="000000" w:themeColor="text1"/>
          <w:szCs w:val="28"/>
        </w:rPr>
      </w:r>
    </w:p>
    <w:sectPr>
      <w:headerReference w:type="even" r:id="rId9"/>
      <w:headerReference w:type="first" r:id="rId10"/>
      <w:footnotePr/>
      <w:endnotePr/>
      <w:type w:val="nextPage"/>
      <w:pgSz w:w="11907" w:h="16840" w:orient="portrait"/>
      <w:pgMar w:top="737" w:right="737" w:bottom="737" w:left="992" w:header="709" w:footer="201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04767925"/>
      <w:rPr/>
    </w:sdtPr>
    <w:sdtContent>
      <w:p>
        <w:pPr>
          <w:pStyle w:val="87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6"/>
    <w:next w:val="866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7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6"/>
    <w:next w:val="866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7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7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7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7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7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7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6"/>
    <w:next w:val="866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7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6"/>
    <w:next w:val="866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7"/>
    <w:link w:val="711"/>
    <w:uiPriority w:val="10"/>
    <w:rPr>
      <w:sz w:val="48"/>
      <w:szCs w:val="48"/>
    </w:rPr>
  </w:style>
  <w:style w:type="paragraph" w:styleId="713">
    <w:name w:val="Subtitle"/>
    <w:basedOn w:val="866"/>
    <w:next w:val="866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7"/>
    <w:link w:val="713"/>
    <w:uiPriority w:val="11"/>
    <w:rPr>
      <w:sz w:val="24"/>
      <w:szCs w:val="24"/>
    </w:rPr>
  </w:style>
  <w:style w:type="paragraph" w:styleId="715">
    <w:name w:val="Quote"/>
    <w:basedOn w:val="866"/>
    <w:next w:val="866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6"/>
    <w:next w:val="866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7"/>
    <w:link w:val="872"/>
    <w:uiPriority w:val="99"/>
  </w:style>
  <w:style w:type="character" w:styleId="720">
    <w:name w:val="Footer Char"/>
    <w:basedOn w:val="867"/>
    <w:link w:val="873"/>
    <w:uiPriority w:val="99"/>
  </w:style>
  <w:style w:type="paragraph" w:styleId="721">
    <w:name w:val="Caption"/>
    <w:basedOn w:val="866"/>
    <w:next w:val="866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7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jc w:val="both"/>
      <w:spacing w:line="360" w:lineRule="atLeast"/>
    </w:pPr>
    <w:rPr>
      <w:rFonts w:eastAsia="Times New Roman"/>
      <w:sz w:val="28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>
    <w:name w:val="page number"/>
    <w:basedOn w:val="867"/>
    <w:qFormat/>
  </w:style>
  <w:style w:type="paragraph" w:styleId="871">
    <w:name w:val="Balloon Text"/>
    <w:basedOn w:val="866"/>
    <w:link w:val="876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872">
    <w:name w:val="Header"/>
    <w:basedOn w:val="866"/>
    <w:link w:val="878"/>
    <w:uiPriority w:val="99"/>
    <w:qFormat/>
    <w:pPr>
      <w:tabs>
        <w:tab w:val="center" w:pos="4153" w:leader="none"/>
        <w:tab w:val="right" w:pos="8306" w:leader="none"/>
      </w:tabs>
    </w:pPr>
  </w:style>
  <w:style w:type="paragraph" w:styleId="873">
    <w:name w:val="Footer"/>
    <w:basedOn w:val="866"/>
    <w:qFormat/>
    <w:pPr>
      <w:tabs>
        <w:tab w:val="center" w:pos="4153" w:leader="none"/>
        <w:tab w:val="right" w:pos="8306" w:leader="none"/>
      </w:tabs>
    </w:pPr>
  </w:style>
  <w:style w:type="paragraph" w:styleId="874">
    <w:name w:val="Normal (Web)"/>
    <w:basedOn w:val="866"/>
    <w:uiPriority w:val="99"/>
    <w:semiHidden/>
    <w:unhideWhenUsed/>
    <w:qFormat/>
    <w:pPr>
      <w:jc w:val="left"/>
      <w:spacing w:before="100" w:beforeAutospacing="1" w:after="100" w:afterAutospacing="1" w:line="240" w:lineRule="auto"/>
    </w:pPr>
    <w:rPr>
      <w:sz w:val="24"/>
      <w:szCs w:val="24"/>
    </w:rPr>
  </w:style>
  <w:style w:type="table" w:styleId="875">
    <w:name w:val="Table Grid"/>
    <w:basedOn w:val="868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6" w:customStyle="1">
    <w:name w:val="Текст выноски Знак"/>
    <w:link w:val="871"/>
    <w:qFormat/>
    <w:rPr>
      <w:rFonts w:ascii="Tahoma" w:hAnsi="Tahoma" w:cs="Tahoma"/>
      <w:sz w:val="16"/>
      <w:szCs w:val="16"/>
    </w:rPr>
  </w:style>
  <w:style w:type="paragraph" w:styleId="877">
    <w:name w:val="List Paragraph"/>
    <w:basedOn w:val="866"/>
    <w:uiPriority w:val="34"/>
    <w:qFormat/>
    <w:pPr>
      <w:contextualSpacing/>
      <w:ind w:left="720"/>
    </w:pPr>
  </w:style>
  <w:style w:type="character" w:styleId="878" w:customStyle="1">
    <w:name w:val="Верхний колонтитул Знак"/>
    <w:basedOn w:val="867"/>
    <w:link w:val="872"/>
    <w:uiPriority w:val="99"/>
    <w:qFormat/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2B7D-3D31-4F63-9176-34D8D58D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Российкой Федерации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yaki@NSO.LOC</cp:lastModifiedBy>
  <cp:revision>22</cp:revision>
  <dcterms:created xsi:type="dcterms:W3CDTF">2025-12-24T11:56:00Z</dcterms:created>
  <dcterms:modified xsi:type="dcterms:W3CDTF">2026-01-30T02:22:02Z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2B886A03ABD143029DB899CBA93F7BAF_12</vt:lpwstr>
  </property>
</Properties>
</file>